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2EB" w:rsidRDefault="009832EB" w:rsidP="009832EB">
      <w:pPr>
        <w:spacing w:after="0" w:line="240" w:lineRule="auto"/>
        <w:ind w:firstLine="48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370" w:rsidRPr="00127BC5" w:rsidRDefault="005F3370" w:rsidP="005F3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Часть 3. Прочие сведения о муниципальном задании</w:t>
      </w:r>
      <w:r w:rsidRPr="00127BC5">
        <w:rPr>
          <w:rFonts w:ascii="Times New Roman" w:eastAsia="Times New Roman" w:hAnsi="Times New Roman" w:cs="Times New Roman"/>
          <w:b/>
          <w:bCs/>
          <w:sz w:val="21"/>
          <w:szCs w:val="21"/>
          <w:vertAlign w:val="superscript"/>
          <w:lang w:eastAsia="ru-RU"/>
        </w:rPr>
        <w:t>5</w:t>
      </w:r>
    </w:p>
    <w:p w:rsidR="005F3370" w:rsidRPr="00127BC5" w:rsidRDefault="005F3370" w:rsidP="005F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spacing w:val="-6"/>
          <w:sz w:val="16"/>
          <w:szCs w:val="16"/>
          <w:vertAlign w:val="superscript"/>
          <w:lang w:eastAsia="ru-RU"/>
        </w:rPr>
        <w:t> </w:t>
      </w:r>
    </w:p>
    <w:tbl>
      <w:tblPr>
        <w:tblW w:w="20083" w:type="dxa"/>
        <w:tblInd w:w="-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14884"/>
        <w:gridCol w:w="316"/>
        <w:gridCol w:w="4855"/>
      </w:tblGrid>
      <w:tr w:rsidR="005F3370" w:rsidRPr="00127BC5" w:rsidTr="00171726">
        <w:trPr>
          <w:gridBefore w:val="1"/>
          <w:wBefore w:w="28" w:type="dxa"/>
          <w:trHeight w:val="109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BE3D22">
              <w:rPr>
                <w:rFonts w:ascii="Arial" w:hAnsi="Arial" w:cs="Arial"/>
                <w:sz w:val="20"/>
                <w:szCs w:val="22"/>
              </w:rPr>
              <w:t>1. Основания для досрочного прекращения в</w:t>
            </w:r>
            <w:r>
              <w:rPr>
                <w:rFonts w:ascii="Arial" w:hAnsi="Arial" w:cs="Arial"/>
                <w:sz w:val="20"/>
                <w:szCs w:val="22"/>
              </w:rPr>
              <w:t xml:space="preserve">ыполнения муниципального задания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BE3D22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5F3370" w:rsidRPr="00127BC5" w:rsidTr="00171726">
        <w:trPr>
          <w:gridBefore w:val="1"/>
          <w:wBefore w:w="28" w:type="dxa"/>
          <w:trHeight w:val="99"/>
        </w:trPr>
        <w:tc>
          <w:tcPr>
            <w:tcW w:w="1488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F3370" w:rsidRPr="00127BC5" w:rsidTr="00171726">
        <w:trPr>
          <w:gridBefore w:val="1"/>
          <w:wBefore w:w="28" w:type="dxa"/>
          <w:trHeight w:val="99"/>
        </w:trPr>
        <w:tc>
          <w:tcPr>
            <w:tcW w:w="1488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Default="005F3370" w:rsidP="00171726">
            <w:pPr>
              <w:pStyle w:val="a3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1)</w:t>
            </w:r>
            <w:r w:rsidRPr="00BE3D22">
              <w:rPr>
                <w:rFonts w:ascii="Arial" w:hAnsi="Arial" w:cs="Arial"/>
                <w:sz w:val="20"/>
                <w:szCs w:val="22"/>
              </w:rPr>
              <w:t xml:space="preserve">окончание </w:t>
            </w:r>
            <w:r>
              <w:rPr>
                <w:rFonts w:ascii="Arial" w:hAnsi="Arial" w:cs="Arial"/>
                <w:sz w:val="20"/>
                <w:szCs w:val="22"/>
              </w:rPr>
              <w:t>срока действия лицензии (ст. 91</w:t>
            </w:r>
            <w:r w:rsidRPr="00BE3D22">
              <w:rPr>
                <w:rFonts w:ascii="Arial" w:hAnsi="Arial" w:cs="Arial"/>
                <w:sz w:val="20"/>
                <w:szCs w:val="22"/>
              </w:rPr>
              <w:t xml:space="preserve"> Закона от 29 декабря 2012 г. № 273-ФЗ «Об образовании в Российской Федерации», устав учреждения);</w:t>
            </w:r>
          </w:p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BE3D22">
              <w:rPr>
                <w:rFonts w:ascii="Arial" w:hAnsi="Arial" w:cs="Arial"/>
                <w:sz w:val="20"/>
                <w:szCs w:val="22"/>
              </w:rPr>
              <w:t>2) реорганизация учреждения (ст. 22 Закона от 29 декабря 2012 г. № 273-ФЗ «Об образовании в Российской Федерации», устав учреждения);</w:t>
            </w:r>
          </w:p>
        </w:tc>
        <w:tc>
          <w:tcPr>
            <w:tcW w:w="5171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</w:p>
        </w:tc>
      </w:tr>
      <w:tr w:rsidR="005F3370" w:rsidRPr="00127BC5" w:rsidTr="00171726">
        <w:trPr>
          <w:gridBefore w:val="1"/>
          <w:wBefore w:w="28" w:type="dxa"/>
          <w:trHeight w:val="99"/>
        </w:trPr>
        <w:tc>
          <w:tcPr>
            <w:tcW w:w="1488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BE3D22">
              <w:rPr>
                <w:rFonts w:ascii="Arial" w:hAnsi="Arial" w:cs="Arial"/>
                <w:sz w:val="20"/>
                <w:szCs w:val="22"/>
              </w:rPr>
              <w:t>3) ликвидация учреждения (ст. 22 Закона от 29 декабря 2012 г. № 273-ФЗ «Об образовании в Российской Федерации», устав учреждения);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F3370" w:rsidRPr="00127BC5" w:rsidTr="00171726">
        <w:trPr>
          <w:gridBefore w:val="1"/>
          <w:wBefore w:w="28" w:type="dxa"/>
          <w:trHeight w:val="99"/>
        </w:trPr>
        <w:tc>
          <w:tcPr>
            <w:tcW w:w="1488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7F486A" w:rsidRDefault="005F3370" w:rsidP="00171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7F486A">
              <w:rPr>
                <w:rFonts w:ascii="Arial" w:hAnsi="Arial" w:cs="Arial"/>
                <w:sz w:val="20"/>
              </w:rPr>
              <w:t>4) нарушения пожарной безопасности (ст. 37 Закона от 21 декабря 1994 г. № 69-ФЗ «О пожарной безопасности»);</w:t>
            </w:r>
          </w:p>
        </w:tc>
        <w:tc>
          <w:tcPr>
            <w:tcW w:w="0" w:type="auto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F3370" w:rsidRPr="007F486A" w:rsidTr="00171726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4855" w:type="dxa"/>
        </w:trPr>
        <w:tc>
          <w:tcPr>
            <w:tcW w:w="1522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5F3370" w:rsidRPr="007F486A" w:rsidRDefault="005F3370" w:rsidP="0017172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</w:rPr>
            </w:pPr>
            <w:r w:rsidRPr="007F486A">
              <w:rPr>
                <w:rFonts w:ascii="Arial" w:hAnsi="Arial" w:cs="Arial"/>
                <w:sz w:val="20"/>
              </w:rPr>
              <w:t>5)нарушения законодательства в области обеспечения санитарно-эпидемиологического благополучия населения в случае административного приостановления деятельности (ст. 6.3 Кодекса РФ об административных нарушениях).</w:t>
            </w:r>
          </w:p>
        </w:tc>
      </w:tr>
    </w:tbl>
    <w:p w:rsidR="005F3370" w:rsidRPr="00127BC5" w:rsidRDefault="005F3370" w:rsidP="005F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0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4253"/>
        <w:gridCol w:w="5528"/>
      </w:tblGrid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Органы администрации района, осуществляющие контроль за выполнением муниципального задания</w:t>
            </w: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t xml:space="preserve">Проведение мониторинга основных показателей работы за определенный период 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 w:rsidRPr="0012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двух раз в течение текущего финансового года, а по итогам отчётного финансового года – не позднее 10 февраля года, следующего за отчётным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t>Предоставление отчетов о деятельности учреждения по установленной форме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t>Ежеквартально</w:t>
            </w:r>
            <w:r w:rsidRPr="0012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отчёта за четвертый квартал текущего финансового года)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t>Сбор дополнительной информации о выполнении задания (опросы, исследования, материалы, представленные самими учреждениями)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t>Выездная проверка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t>По решению Учредителя (в случае поступления обоснованных жалоб со стороны потребителя)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 xml:space="preserve">Управление образования администрации района, </w:t>
            </w:r>
          </w:p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5F3370" w:rsidRPr="00127BC5" w:rsidTr="00171726"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Default="005F3370" w:rsidP="00171726">
            <w:pPr>
              <w:spacing w:after="0" w:line="240" w:lineRule="auto"/>
              <w:jc w:val="both"/>
            </w:pPr>
            <w:r>
              <w:t>Камеральная проверка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t>По решению Учредителя (в случае поступления обоснованных жалоб со стороны потребителя)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Администрация района, органы прокуратуры</w:t>
            </w:r>
          </w:p>
        </w:tc>
      </w:tr>
    </w:tbl>
    <w:p w:rsidR="005F3370" w:rsidRPr="00127BC5" w:rsidRDefault="005F3370" w:rsidP="005F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4"/>
        <w:gridCol w:w="2404"/>
        <w:gridCol w:w="709"/>
        <w:gridCol w:w="222"/>
        <w:gridCol w:w="770"/>
        <w:gridCol w:w="2552"/>
        <w:gridCol w:w="2382"/>
      </w:tblGrid>
      <w:tr w:rsidR="005F3370" w:rsidRPr="00127BC5" w:rsidTr="00171726">
        <w:trPr>
          <w:trHeight w:val="315"/>
        </w:trPr>
        <w:tc>
          <w:tcPr>
            <w:tcW w:w="810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4. Требования к отчётности о выполнении муниципального задания</w:t>
            </w:r>
          </w:p>
        </w:tc>
        <w:tc>
          <w:tcPr>
            <w:tcW w:w="6635" w:type="dxa"/>
            <w:gridSpan w:val="5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</w:p>
        </w:tc>
      </w:tr>
      <w:tr w:rsidR="005F3370" w:rsidRPr="00127BC5" w:rsidTr="00171726">
        <w:trPr>
          <w:trHeight w:val="315"/>
        </w:trPr>
        <w:tc>
          <w:tcPr>
            <w:tcW w:w="980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4.1. Периодичность представления отчётов о выполнении муниципального задания</w:t>
            </w:r>
          </w:p>
        </w:tc>
        <w:tc>
          <w:tcPr>
            <w:tcW w:w="4934" w:type="dxa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F3370" w:rsidRPr="00127BC5" w:rsidTr="00171726">
        <w:trPr>
          <w:trHeight w:val="315"/>
        </w:trPr>
        <w:tc>
          <w:tcPr>
            <w:tcW w:w="8817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lastRenderedPageBreak/>
              <w:t>4.2. Сроки представления отчётов о выполнении муниципального задания</w:t>
            </w:r>
          </w:p>
        </w:tc>
        <w:tc>
          <w:tcPr>
            <w:tcW w:w="5926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BE3D22" w:rsidRDefault="005F3370" w:rsidP="0017172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BE3D22">
              <w:rPr>
                <w:rFonts w:ascii="Arial" w:hAnsi="Arial" w:cs="Arial"/>
                <w:sz w:val="20"/>
                <w:szCs w:val="22"/>
              </w:rPr>
              <w:t>в срок до 15 числа месяца, следующего за отчетным периодом</w:t>
            </w:r>
          </w:p>
        </w:tc>
      </w:tr>
      <w:tr w:rsidR="005F3370" w:rsidRPr="00127BC5" w:rsidTr="00171726">
        <w:trPr>
          <w:trHeight w:val="315"/>
        </w:trPr>
        <w:tc>
          <w:tcPr>
            <w:tcW w:w="570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F3370" w:rsidRPr="00127BC5" w:rsidRDefault="005F3370" w:rsidP="00171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370" w:rsidRPr="00127BC5" w:rsidTr="00171726">
        <w:trPr>
          <w:trHeight w:val="315"/>
        </w:trPr>
        <w:tc>
          <w:tcPr>
            <w:tcW w:w="9039" w:type="dxa"/>
            <w:gridSpan w:val="4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4.3. Иные требования к отчётности о выполнении муниципального задания</w:t>
            </w:r>
          </w:p>
        </w:tc>
        <w:tc>
          <w:tcPr>
            <w:tcW w:w="570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Default="005F3370" w:rsidP="00171726">
            <w:pPr>
              <w:spacing w:after="0" w:line="240" w:lineRule="auto"/>
              <w:jc w:val="both"/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  <w:r>
              <w:t xml:space="preserve">предоставление отчета о выполнении муниципального задания на бумажном носителе, подписанного руководителем учреждения, скрепленного печатью учреждения по утвержденной форме; </w:t>
            </w:r>
          </w:p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муниципальное учреждение размещает муниципальное задание и отчеты о его выполнении, за исключением содержащихся в них сведений, составляющих государственную тайну,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 .</w:t>
            </w:r>
          </w:p>
        </w:tc>
      </w:tr>
      <w:tr w:rsidR="005F3370" w:rsidRPr="00127BC5" w:rsidTr="00171726">
        <w:trPr>
          <w:trHeight w:val="315"/>
        </w:trPr>
        <w:tc>
          <w:tcPr>
            <w:tcW w:w="12361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5. Иная информация, необходимая для исполнения (контроля за исполнением) муниципального задания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</w:p>
        </w:tc>
      </w:tr>
      <w:tr w:rsidR="005F3370" w:rsidRPr="00127BC5" w:rsidTr="00171726">
        <w:trPr>
          <w:trHeight w:val="315"/>
        </w:trPr>
        <w:tc>
          <w:tcPr>
            <w:tcW w:w="12361" w:type="dxa"/>
            <w:gridSpan w:val="6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F3370" w:rsidRPr="00127BC5" w:rsidRDefault="005F3370" w:rsidP="00171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C5">
              <w:rPr>
                <w:rFonts w:ascii="Arial" w:eastAsia="Times New Roman" w:hAnsi="Arial" w:cs="Arial"/>
                <w:spacing w:val="-6"/>
                <w:sz w:val="24"/>
                <w:szCs w:val="24"/>
                <w:lang w:eastAsia="ru-RU"/>
              </w:rPr>
              <w:t> </w:t>
            </w:r>
          </w:p>
        </w:tc>
      </w:tr>
    </w:tbl>
    <w:p w:rsidR="005F3370" w:rsidRPr="00127BC5" w:rsidRDefault="005F3370" w:rsidP="005F33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spacing w:val="-6"/>
          <w:sz w:val="16"/>
          <w:szCs w:val="16"/>
          <w:vertAlign w:val="superscript"/>
          <w:lang w:eastAsia="ru-RU"/>
        </w:rPr>
        <w:t> </w:t>
      </w:r>
    </w:p>
    <w:p w:rsidR="00954153" w:rsidRPr="00127BC5" w:rsidRDefault="00954153" w:rsidP="00954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Порядок оказания муниципальной услуги</w:t>
      </w:r>
    </w:p>
    <w:p w:rsidR="00954153" w:rsidRDefault="00954153" w:rsidP="00954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bookmarkStart w:id="0" w:name="_GoBack"/>
      <w:bookmarkEnd w:id="0"/>
    </w:p>
    <w:p w:rsidR="00954153" w:rsidRDefault="00954153" w:rsidP="0095415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Федеральный закон от 29.12.2012 № 273-ФЗ «Об образовании в Российской Федерации»</w:t>
      </w:r>
    </w:p>
    <w:p w:rsidR="00954153" w:rsidRDefault="00954153" w:rsidP="0095415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Бюджетный кодекс Российской Федерации от 31.07.1998 № 145-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ФЗ(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ред. от  02.11.2023) ст.69.2</w:t>
      </w:r>
    </w:p>
    <w:p w:rsidR="00954153" w:rsidRPr="00355C9C" w:rsidRDefault="00954153" w:rsidP="00954153">
      <w:pPr>
        <w:spacing w:after="0" w:line="240" w:lineRule="auto"/>
        <w:rPr>
          <w:rFonts w:ascii="Arial" w:eastAsia="Calibri" w:hAnsi="Arial" w:cs="Arial"/>
          <w:sz w:val="20"/>
        </w:rPr>
      </w:pPr>
      <w:r w:rsidRPr="00355C9C">
        <w:rPr>
          <w:rFonts w:ascii="Arial" w:eastAsia="Calibri" w:hAnsi="Arial" w:cs="Arial"/>
          <w:sz w:val="20"/>
        </w:rPr>
        <w:t xml:space="preserve">– Закон от 6 октября 2003 г. № 131-ФЗ «Об общих принципах организации местного самоуправления в Российской Федерации»; </w:t>
      </w:r>
    </w:p>
    <w:p w:rsidR="00954153" w:rsidRPr="00355C9C" w:rsidRDefault="00954153" w:rsidP="00954153">
      <w:pPr>
        <w:spacing w:after="0" w:line="240" w:lineRule="auto"/>
        <w:rPr>
          <w:rFonts w:ascii="Arial" w:eastAsia="Calibri" w:hAnsi="Arial" w:cs="Arial"/>
          <w:sz w:val="20"/>
        </w:rPr>
      </w:pPr>
      <w:r w:rsidRPr="00355C9C">
        <w:rPr>
          <w:rFonts w:ascii="Arial" w:eastAsia="Calibri" w:hAnsi="Arial" w:cs="Arial"/>
          <w:sz w:val="20"/>
        </w:rPr>
        <w:t xml:space="preserve">– Приказ </w:t>
      </w:r>
      <w:proofErr w:type="spellStart"/>
      <w:r w:rsidRPr="00355C9C">
        <w:rPr>
          <w:rFonts w:ascii="Arial" w:eastAsia="Calibri" w:hAnsi="Arial" w:cs="Arial"/>
          <w:sz w:val="20"/>
        </w:rPr>
        <w:t>Минпросвещения</w:t>
      </w:r>
      <w:proofErr w:type="spellEnd"/>
      <w:r w:rsidRPr="00355C9C">
        <w:rPr>
          <w:rFonts w:ascii="Arial" w:eastAsia="Calibri" w:hAnsi="Arial" w:cs="Arial"/>
          <w:sz w:val="20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954153" w:rsidRDefault="00954153" w:rsidP="0095415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954153" w:rsidRPr="00EF08F7" w:rsidRDefault="00954153" w:rsidP="0095415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8B56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Приказ </w:t>
      </w:r>
      <w:proofErr w:type="spellStart"/>
      <w:r w:rsidRPr="008B56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Минобрна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уки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России от 19.12.2014 № 1598 «</w:t>
      </w:r>
      <w:r w:rsidRPr="008B56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</w:t>
      </w:r>
      <w:r w:rsidRPr="008B56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Приказ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Минпросвещения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России от 31.05.2021 № 286 «</w:t>
      </w:r>
      <w:r w:rsidRPr="008A166C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  <w:t>Об утверждении федерального государственного образовательного стандарта начального общего образования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  <w:t>»</w:t>
      </w:r>
      <w:r w:rsidRPr="008A166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Приказ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Минпросвещения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</w:t>
      </w:r>
    </w:p>
    <w:p w:rsidR="00954153" w:rsidRDefault="00954153" w:rsidP="00954153">
      <w:pPr>
        <w:spacing w:after="150" w:line="240" w:lineRule="auto"/>
        <w:rPr>
          <w:rFonts w:ascii="Arial" w:eastAsia="Times New Roman" w:hAnsi="Arial" w:cs="Arial"/>
          <w:color w:val="222222"/>
          <w:spacing w:val="-6"/>
          <w:lang w:eastAsia="ru-RU"/>
        </w:rPr>
      </w:pPr>
      <w:r w:rsidRPr="0007659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Приказ </w:t>
      </w:r>
      <w:proofErr w:type="spellStart"/>
      <w:r w:rsidRPr="0007659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Минобрнауки</w:t>
      </w:r>
      <w:proofErr w:type="spellEnd"/>
      <w:r w:rsidRPr="0007659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России от 17.12.2010 № 1897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Pr="00076592">
        <w:rPr>
          <w:rFonts w:ascii="Arial" w:eastAsia="Times New Roman" w:hAnsi="Arial" w:cs="Arial"/>
          <w:bCs/>
          <w:color w:val="222222"/>
          <w:spacing w:val="-15"/>
          <w:kern w:val="36"/>
          <w:lang w:eastAsia="ru-RU"/>
        </w:rPr>
        <w:t>Приказ</w:t>
      </w:r>
      <w:r>
        <w:rPr>
          <w:rFonts w:ascii="Arial" w:eastAsia="Times New Roman" w:hAnsi="Arial" w:cs="Arial"/>
          <w:bCs/>
          <w:color w:val="222222"/>
          <w:spacing w:val="-15"/>
          <w:kern w:val="36"/>
          <w:lang w:eastAsia="ru-RU"/>
        </w:rPr>
        <w:t xml:space="preserve"> «</w:t>
      </w:r>
      <w:r w:rsidRPr="00076592">
        <w:rPr>
          <w:rFonts w:ascii="Arial" w:eastAsia="Times New Roman" w:hAnsi="Arial" w:cs="Arial"/>
          <w:color w:val="222222"/>
          <w:spacing w:val="-6"/>
          <w:lang w:eastAsia="ru-RU"/>
        </w:rPr>
        <w:t>Об утверждении федерального государственного образовательного стандарта основного общего образования</w:t>
      </w:r>
      <w:r>
        <w:rPr>
          <w:rFonts w:ascii="Arial" w:eastAsia="Times New Roman" w:hAnsi="Arial" w:cs="Arial"/>
          <w:color w:val="222222"/>
          <w:spacing w:val="-6"/>
          <w:lang w:eastAsia="ru-RU"/>
        </w:rPr>
        <w:t>»</w:t>
      </w:r>
    </w:p>
    <w:p w:rsidR="00954153" w:rsidRDefault="00954153" w:rsidP="00EF08F7">
      <w:pPr>
        <w:spacing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7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Приказ </w:t>
      </w:r>
      <w:proofErr w:type="spellStart"/>
      <w:r w:rsidRPr="00A95F7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Минобрнауки</w:t>
      </w:r>
      <w:proofErr w:type="spellEnd"/>
      <w:r w:rsidRPr="00A95F7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России от 17.05.2012 № 413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Pr="00A95F72">
        <w:rPr>
          <w:rFonts w:ascii="Arial" w:eastAsia="Times New Roman" w:hAnsi="Arial" w:cs="Arial"/>
          <w:bCs/>
          <w:color w:val="222222"/>
          <w:spacing w:val="-15"/>
          <w:kern w:val="36"/>
          <w:lang w:eastAsia="ru-RU"/>
        </w:rPr>
        <w:t>Приказ</w:t>
      </w:r>
      <w:r>
        <w:rPr>
          <w:rFonts w:ascii="Arial" w:eastAsia="Times New Roman" w:hAnsi="Arial" w:cs="Arial"/>
          <w:bCs/>
          <w:color w:val="222222"/>
          <w:spacing w:val="-15"/>
          <w:kern w:val="36"/>
          <w:lang w:eastAsia="ru-RU"/>
        </w:rPr>
        <w:t xml:space="preserve"> «</w:t>
      </w:r>
      <w:r w:rsidRPr="00A95F72">
        <w:rPr>
          <w:rFonts w:ascii="Arial" w:eastAsia="Times New Roman" w:hAnsi="Arial" w:cs="Arial"/>
          <w:color w:val="222222"/>
          <w:spacing w:val="-6"/>
          <w:lang w:eastAsia="ru-RU"/>
        </w:rPr>
        <w:t>Об утверждении федерального государственного образовательного стандарта среднего общего образования</w:t>
      </w:r>
      <w:r>
        <w:rPr>
          <w:rFonts w:ascii="Arial" w:eastAsia="Times New Roman" w:hAnsi="Arial" w:cs="Arial"/>
          <w:color w:val="222222"/>
          <w:spacing w:val="-6"/>
          <w:lang w:eastAsia="ru-RU"/>
        </w:rPr>
        <w:t>»</w:t>
      </w:r>
      <w:r w:rsidRPr="009C74BB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 xml:space="preserve">Приказ </w:t>
      </w:r>
      <w:proofErr w:type="spellStart"/>
      <w:r w:rsidRPr="009C74B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Минобрна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уки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России от 19.12.2014 № 1599 «</w:t>
      </w:r>
      <w:r w:rsidRPr="009C74B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</w:t>
      </w:r>
      <w:r w:rsidRPr="00C20F93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 xml:space="preserve">Приказ </w:t>
      </w:r>
      <w:proofErr w:type="spellStart"/>
      <w:r w:rsidRPr="00C20F9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Минпросвещения</w:t>
      </w:r>
      <w:proofErr w:type="spellEnd"/>
      <w:r w:rsidRPr="00C20F9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России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от 22.03.2021 № 115 «</w:t>
      </w:r>
      <w:r w:rsidRPr="00C20F9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Об утверждении Порядка организации и осуществления образовательной деятельности по </w:t>
      </w:r>
      <w:r w:rsidRPr="00C20F93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</w:t>
      </w:r>
      <w:r w:rsidRPr="008E07B2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 xml:space="preserve">Приказ </w:t>
      </w:r>
      <w:proofErr w:type="spellStart"/>
      <w:r w:rsidRPr="008E07B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Минпросвещ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ения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России от 27.07.2022 № 629 «</w:t>
      </w:r>
      <w:r w:rsidRPr="008E07B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</w:t>
      </w:r>
    </w:p>
    <w:p w:rsidR="00954153" w:rsidRDefault="00954153" w:rsidP="00954153">
      <w:pPr>
        <w:spacing w:after="100" w:afterAutospacing="1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2.3/2.4.3590-20 «</w:t>
      </w:r>
      <w:r w:rsidRPr="005D147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</w:t>
      </w:r>
    </w:p>
    <w:p w:rsidR="00954153" w:rsidRPr="00355C9C" w:rsidRDefault="00954153" w:rsidP="009541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355C9C">
        <w:rPr>
          <w:rFonts w:ascii="Arial" w:eastAsia="Calibri" w:hAnsi="Arial" w:cs="Arial"/>
          <w:sz w:val="20"/>
        </w:rPr>
        <w:t>– Постановление Главного государственного санитарного врача России от 28.09.2020 № 28,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</w:t>
      </w:r>
    </w:p>
    <w:p w:rsidR="00954153" w:rsidRPr="009832EB" w:rsidRDefault="00954153" w:rsidP="00EF0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47E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Курагинского</w:t>
      </w:r>
      <w:proofErr w:type="spellEnd"/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B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16.11.2015 № 974-п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</w:t>
      </w:r>
      <w:r w:rsidRPr="00983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</w:t>
      </w:r>
      <w:r w:rsidRPr="00983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формирования муниципального задания отношении районных муниципальных учреждений и финансового обеспечения выполнения муниципального задания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954153" w:rsidRPr="008A166C" w:rsidRDefault="00954153" w:rsidP="00954153">
      <w:pPr>
        <w:spacing w:after="100" w:afterAutospacing="1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F241BD" w:rsidRDefault="00F241BD"/>
    <w:sectPr w:rsidR="00F241BD" w:rsidSect="00EF08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6E"/>
    <w:rsid w:val="0015306E"/>
    <w:rsid w:val="005F3370"/>
    <w:rsid w:val="00954153"/>
    <w:rsid w:val="009832EB"/>
    <w:rsid w:val="00EF08F7"/>
    <w:rsid w:val="00F2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545F"/>
  <w15:chartTrackingRefBased/>
  <w15:docId w15:val="{C8E79F82-2E05-4262-94B0-4A6A7C59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 из договоров"/>
    <w:basedOn w:val="a"/>
    <w:rsid w:val="005F33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ФРДО</dc:creator>
  <cp:keywords/>
  <dc:description/>
  <cp:lastModifiedBy>ФИС ФРДО</cp:lastModifiedBy>
  <cp:revision>4</cp:revision>
  <dcterms:created xsi:type="dcterms:W3CDTF">2024-01-10T06:05:00Z</dcterms:created>
  <dcterms:modified xsi:type="dcterms:W3CDTF">2024-01-10T06:36:00Z</dcterms:modified>
</cp:coreProperties>
</file>